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52F" w:rsidRPr="00EA05A0" w:rsidRDefault="00357488">
      <w:pPr>
        <w:rPr>
          <w:b/>
          <w:sz w:val="38"/>
          <w:szCs w:val="38"/>
        </w:rPr>
      </w:pPr>
      <w:r w:rsidRPr="00EA05A0">
        <w:rPr>
          <w:rStyle w:val="TitleChar"/>
          <w:b/>
          <w:noProof/>
          <w:sz w:val="38"/>
          <w:szCs w:val="38"/>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2479040" cy="1612900"/>
            <wp:effectExtent l="0" t="0" r="0" b="635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479040" cy="1612900"/>
                    </a:xfrm>
                    <a:prstGeom prst="rect">
                      <a:avLst/>
                    </a:prstGeom>
                  </pic:spPr>
                </pic:pic>
              </a:graphicData>
            </a:graphic>
            <wp14:sizeRelH relativeFrom="margin">
              <wp14:pctWidth>0</wp14:pctWidth>
            </wp14:sizeRelH>
            <wp14:sizeRelV relativeFrom="margin">
              <wp14:pctHeight>0</wp14:pctHeight>
            </wp14:sizeRelV>
          </wp:anchor>
        </w:drawing>
      </w:r>
      <w:r w:rsidRPr="00EA05A0">
        <w:rPr>
          <w:rStyle w:val="TitleChar"/>
          <w:b/>
          <w:sz w:val="38"/>
          <w:szCs w:val="38"/>
        </w:rPr>
        <w:t>Directed Trusts: Best Practices for Working with Advisors, Trust Protectors and Excluded Trustees – When to Say No</w:t>
      </w:r>
      <w:r w:rsidRPr="00EA05A0">
        <w:rPr>
          <w:b/>
          <w:sz w:val="38"/>
          <w:szCs w:val="38"/>
        </w:rPr>
        <w:t>!</w:t>
      </w:r>
    </w:p>
    <w:p w:rsidR="00357488" w:rsidRPr="00557077" w:rsidRDefault="004F5564" w:rsidP="00832CBE">
      <w:pPr>
        <w:pStyle w:val="Heading1"/>
        <w:ind w:left="360"/>
        <w:rPr>
          <w:color w:val="C45911" w:themeColor="accent2" w:themeShade="BF"/>
        </w:rPr>
      </w:pPr>
      <w:r w:rsidRPr="00557077">
        <w:rPr>
          <w:color w:val="C45911" w:themeColor="accent2" w:themeShade="BF"/>
        </w:rPr>
        <w:t>Tax Compliance</w:t>
      </w:r>
      <w:r w:rsidR="00357488" w:rsidRPr="00557077">
        <w:rPr>
          <w:color w:val="C45911" w:themeColor="accent2" w:themeShade="BF"/>
        </w:rPr>
        <w:t xml:space="preserve"> Checklist</w:t>
      </w:r>
    </w:p>
    <w:p w:rsidR="0078622D" w:rsidRDefault="0078622D" w:rsidP="0078622D">
      <w:pPr>
        <w:spacing w:after="0"/>
        <w:ind w:left="360"/>
        <w:rPr>
          <w:rStyle w:val="IntenseReference"/>
          <w:color w:val="C45911" w:themeColor="accent2" w:themeShade="BF"/>
          <w:sz w:val="24"/>
          <w:szCs w:val="24"/>
        </w:rPr>
      </w:pPr>
    </w:p>
    <w:p w:rsidR="00462216" w:rsidRDefault="00462216" w:rsidP="0078622D">
      <w:pPr>
        <w:spacing w:after="0"/>
        <w:ind w:left="270"/>
        <w:rPr>
          <w:i/>
          <w:sz w:val="24"/>
          <w:szCs w:val="24"/>
        </w:rPr>
      </w:pPr>
      <w:bookmarkStart w:id="0" w:name="_GoBack"/>
      <w:bookmarkEnd w:id="0"/>
    </w:p>
    <w:p w:rsidR="0078622D" w:rsidRPr="00D31C25" w:rsidRDefault="0078622D" w:rsidP="0078622D">
      <w:pPr>
        <w:spacing w:after="0"/>
        <w:ind w:left="270"/>
        <w:rPr>
          <w:i/>
          <w:sz w:val="24"/>
          <w:szCs w:val="24"/>
        </w:rPr>
      </w:pPr>
      <w:r w:rsidRPr="00D31C25">
        <w:rPr>
          <w:i/>
          <w:sz w:val="24"/>
          <w:szCs w:val="24"/>
        </w:rPr>
        <w:t>In addition to the factors shown in the lists for investment and distribution actions, consider including the following</w:t>
      </w:r>
      <w:r w:rsidR="00462216">
        <w:rPr>
          <w:i/>
          <w:sz w:val="24"/>
          <w:szCs w:val="24"/>
        </w:rPr>
        <w:t xml:space="preserve"> items.</w:t>
      </w:r>
    </w:p>
    <w:p w:rsidR="0078622D" w:rsidRPr="0078622D" w:rsidRDefault="0078622D" w:rsidP="0078622D">
      <w:pPr>
        <w:spacing w:after="0"/>
        <w:ind w:left="360"/>
        <w:rPr>
          <w:rStyle w:val="IntenseReference"/>
          <w:color w:val="C45911" w:themeColor="accent2" w:themeShade="BF"/>
          <w:sz w:val="24"/>
          <w:szCs w:val="24"/>
        </w:rPr>
      </w:pPr>
    </w:p>
    <w:p w:rsidR="006C3272" w:rsidRPr="0078622D" w:rsidRDefault="006C3272" w:rsidP="006C3272">
      <w:pPr>
        <w:pStyle w:val="ListParagraph"/>
        <w:numPr>
          <w:ilvl w:val="0"/>
          <w:numId w:val="1"/>
        </w:numPr>
        <w:spacing w:after="0"/>
        <w:rPr>
          <w:rStyle w:val="IntenseReference"/>
          <w:color w:val="C45911" w:themeColor="accent2" w:themeShade="BF"/>
          <w:sz w:val="24"/>
          <w:szCs w:val="24"/>
        </w:rPr>
      </w:pPr>
      <w:r w:rsidRPr="0078622D">
        <w:rPr>
          <w:rStyle w:val="IntenseReference"/>
          <w:color w:val="C45911" w:themeColor="accent2" w:themeShade="BF"/>
          <w:sz w:val="24"/>
          <w:szCs w:val="24"/>
        </w:rPr>
        <w:t>Trust Documents</w:t>
      </w:r>
    </w:p>
    <w:p w:rsidR="00577F45" w:rsidRPr="0078622D" w:rsidRDefault="0078622D" w:rsidP="00832CBE">
      <w:pPr>
        <w:spacing w:after="0"/>
        <w:ind w:left="360" w:firstLine="720"/>
        <w:rPr>
          <w:i/>
          <w:sz w:val="24"/>
          <w:szCs w:val="24"/>
        </w:rPr>
      </w:pPr>
      <w:r w:rsidRPr="0078622D">
        <w:rPr>
          <w:i/>
          <w:sz w:val="24"/>
          <w:szCs w:val="24"/>
        </w:rPr>
        <w:t>Has the following been addressed in the trust instrument?</w:t>
      </w:r>
    </w:p>
    <w:tbl>
      <w:tblPr>
        <w:tblStyle w:val="TableGrid"/>
        <w:tblW w:w="0" w:type="auto"/>
        <w:tblInd w:w="360" w:type="dxa"/>
        <w:tblLook w:val="04A0" w:firstRow="1" w:lastRow="0" w:firstColumn="1" w:lastColumn="0" w:noHBand="0" w:noVBand="1"/>
      </w:tblPr>
      <w:tblGrid>
        <w:gridCol w:w="828"/>
        <w:gridCol w:w="9828"/>
      </w:tblGrid>
      <w:tr w:rsidR="00D31C25" w:rsidTr="00D31C25">
        <w:tc>
          <w:tcPr>
            <w:tcW w:w="828" w:type="dxa"/>
          </w:tcPr>
          <w:p w:rsidR="00D31C25" w:rsidRDefault="00D31C25" w:rsidP="00832CBE">
            <w:pPr>
              <w:rPr>
                <w:sz w:val="32"/>
                <w:szCs w:val="32"/>
              </w:rPr>
            </w:pPr>
          </w:p>
        </w:tc>
        <w:tc>
          <w:tcPr>
            <w:tcW w:w="9828" w:type="dxa"/>
          </w:tcPr>
          <w:p w:rsidR="00D31C25" w:rsidRPr="00D31C25" w:rsidRDefault="00524112" w:rsidP="00365DA7">
            <w:pPr>
              <w:jc w:val="both"/>
              <w:rPr>
                <w:sz w:val="28"/>
                <w:szCs w:val="28"/>
              </w:rPr>
            </w:pPr>
            <w:r w:rsidRPr="00D31C25">
              <w:rPr>
                <w:sz w:val="28"/>
                <w:szCs w:val="28"/>
              </w:rPr>
              <w:t>A complete definition of “tax compliance”</w:t>
            </w:r>
            <w:r>
              <w:rPr>
                <w:sz w:val="28"/>
                <w:szCs w:val="28"/>
              </w:rPr>
              <w:t>.</w:t>
            </w:r>
          </w:p>
        </w:tc>
      </w:tr>
      <w:tr w:rsidR="00D31C25" w:rsidTr="00D31C25">
        <w:tc>
          <w:tcPr>
            <w:tcW w:w="828" w:type="dxa"/>
          </w:tcPr>
          <w:p w:rsidR="00D31C25" w:rsidRDefault="00D31C25" w:rsidP="00832CBE">
            <w:pPr>
              <w:rPr>
                <w:sz w:val="32"/>
                <w:szCs w:val="32"/>
              </w:rPr>
            </w:pPr>
          </w:p>
        </w:tc>
        <w:tc>
          <w:tcPr>
            <w:tcW w:w="9828" w:type="dxa"/>
          </w:tcPr>
          <w:p w:rsidR="00D31C25" w:rsidRPr="00D31C25" w:rsidRDefault="00524112" w:rsidP="00365DA7">
            <w:pPr>
              <w:jc w:val="both"/>
              <w:rPr>
                <w:sz w:val="28"/>
                <w:szCs w:val="28"/>
              </w:rPr>
            </w:pPr>
            <w:r w:rsidRPr="00D31C25">
              <w:rPr>
                <w:sz w:val="28"/>
                <w:szCs w:val="28"/>
              </w:rPr>
              <w:t>A clear definition of the roles and responsibilities regarding the transfer of funds needed to make any tax payments</w:t>
            </w:r>
            <w:r>
              <w:rPr>
                <w:sz w:val="28"/>
                <w:szCs w:val="28"/>
              </w:rPr>
              <w:t>.</w:t>
            </w:r>
          </w:p>
        </w:tc>
      </w:tr>
      <w:tr w:rsidR="00D31C25" w:rsidTr="00D31C25">
        <w:tc>
          <w:tcPr>
            <w:tcW w:w="828" w:type="dxa"/>
          </w:tcPr>
          <w:p w:rsidR="00D31C25" w:rsidRDefault="00D31C25" w:rsidP="00832CBE">
            <w:pPr>
              <w:rPr>
                <w:sz w:val="32"/>
                <w:szCs w:val="32"/>
              </w:rPr>
            </w:pPr>
          </w:p>
        </w:tc>
        <w:tc>
          <w:tcPr>
            <w:tcW w:w="9828" w:type="dxa"/>
          </w:tcPr>
          <w:p w:rsidR="00D31C25" w:rsidRPr="00D31C25" w:rsidRDefault="00524112" w:rsidP="00365DA7">
            <w:pPr>
              <w:jc w:val="both"/>
              <w:rPr>
                <w:sz w:val="28"/>
                <w:szCs w:val="28"/>
              </w:rPr>
            </w:pPr>
            <w:r w:rsidRPr="00D31C25">
              <w:rPr>
                <w:sz w:val="28"/>
                <w:szCs w:val="28"/>
              </w:rPr>
              <w:t>Language indemnifying the Directed Trustee or Administrative Trustee for any personal liability incurred as a result of tax compliance</w:t>
            </w:r>
            <w:r>
              <w:rPr>
                <w:sz w:val="28"/>
                <w:szCs w:val="28"/>
              </w:rPr>
              <w:t>.</w:t>
            </w:r>
          </w:p>
        </w:tc>
      </w:tr>
    </w:tbl>
    <w:p w:rsidR="00577F45" w:rsidRDefault="00577F45" w:rsidP="00832CBE">
      <w:pPr>
        <w:spacing w:after="0"/>
        <w:ind w:left="360" w:firstLine="720"/>
        <w:rPr>
          <w:i/>
        </w:rPr>
      </w:pPr>
    </w:p>
    <w:p w:rsidR="00577F45" w:rsidRDefault="00577F45" w:rsidP="00832CBE">
      <w:pPr>
        <w:spacing w:after="0"/>
        <w:ind w:left="360" w:firstLine="720"/>
        <w:rPr>
          <w:i/>
        </w:rPr>
      </w:pPr>
    </w:p>
    <w:p w:rsidR="00357488" w:rsidRPr="00D31C25" w:rsidRDefault="006C3272" w:rsidP="006C3272">
      <w:pPr>
        <w:pStyle w:val="ListParagraph"/>
        <w:numPr>
          <w:ilvl w:val="0"/>
          <w:numId w:val="1"/>
        </w:numPr>
        <w:spacing w:after="0"/>
        <w:rPr>
          <w:rStyle w:val="IntenseReference"/>
          <w:color w:val="C45911" w:themeColor="accent2" w:themeShade="BF"/>
          <w:sz w:val="24"/>
          <w:szCs w:val="24"/>
        </w:rPr>
      </w:pPr>
      <w:r w:rsidRPr="00D31C25">
        <w:rPr>
          <w:rStyle w:val="IntenseReference"/>
          <w:color w:val="C45911" w:themeColor="accent2" w:themeShade="BF"/>
          <w:sz w:val="24"/>
          <w:szCs w:val="24"/>
        </w:rPr>
        <w:t>Direction Letters</w:t>
      </w:r>
    </w:p>
    <w:p w:rsidR="006C3272" w:rsidRPr="00D31C25" w:rsidRDefault="006C3272" w:rsidP="006C3272">
      <w:pPr>
        <w:spacing w:after="0"/>
        <w:ind w:left="1080"/>
        <w:rPr>
          <w:i/>
          <w:sz w:val="24"/>
          <w:szCs w:val="24"/>
        </w:rPr>
      </w:pPr>
      <w:r w:rsidRPr="00D31C25">
        <w:rPr>
          <w:i/>
          <w:sz w:val="24"/>
          <w:szCs w:val="24"/>
        </w:rPr>
        <w:t>Has the following been addressed in the direction letter?</w:t>
      </w:r>
    </w:p>
    <w:tbl>
      <w:tblPr>
        <w:tblStyle w:val="TableGrid"/>
        <w:tblW w:w="0" w:type="auto"/>
        <w:tblInd w:w="378" w:type="dxa"/>
        <w:tblLook w:val="04A0" w:firstRow="1" w:lastRow="0" w:firstColumn="1" w:lastColumn="0" w:noHBand="0" w:noVBand="1"/>
      </w:tblPr>
      <w:tblGrid>
        <w:gridCol w:w="810"/>
        <w:gridCol w:w="9828"/>
      </w:tblGrid>
      <w:tr w:rsidR="00D31C25" w:rsidTr="00D31C25">
        <w:tc>
          <w:tcPr>
            <w:tcW w:w="810" w:type="dxa"/>
          </w:tcPr>
          <w:p w:rsidR="00D31C25" w:rsidRDefault="00D31C25" w:rsidP="006C3272">
            <w:pPr>
              <w:rPr>
                <w:sz w:val="32"/>
                <w:szCs w:val="32"/>
              </w:rPr>
            </w:pPr>
          </w:p>
        </w:tc>
        <w:tc>
          <w:tcPr>
            <w:tcW w:w="9828" w:type="dxa"/>
          </w:tcPr>
          <w:p w:rsidR="00D31C25" w:rsidRPr="00D31C25" w:rsidRDefault="00883C71" w:rsidP="00365DA7">
            <w:pPr>
              <w:jc w:val="both"/>
              <w:rPr>
                <w:sz w:val="28"/>
                <w:szCs w:val="28"/>
              </w:rPr>
            </w:pPr>
            <w:r>
              <w:rPr>
                <w:sz w:val="28"/>
                <w:szCs w:val="28"/>
              </w:rPr>
              <w:t>I</w:t>
            </w:r>
            <w:r w:rsidR="0061371D">
              <w:rPr>
                <w:sz w:val="28"/>
                <w:szCs w:val="28"/>
              </w:rPr>
              <w:t>f</w:t>
            </w:r>
            <w:r w:rsidR="00D31C25" w:rsidRPr="00D31C25">
              <w:rPr>
                <w:sz w:val="28"/>
                <w:szCs w:val="28"/>
              </w:rPr>
              <w:t xml:space="preserve"> a directed trust structure, the letter should contain a statement that all information contained on the return and accompanying schedules is true, correct and complete, and that the Tax Advisor indemnifies the trustee for any liability associated with the filing.</w:t>
            </w:r>
          </w:p>
        </w:tc>
      </w:tr>
      <w:tr w:rsidR="00D31C25" w:rsidTr="00D31C25">
        <w:tc>
          <w:tcPr>
            <w:tcW w:w="810" w:type="dxa"/>
          </w:tcPr>
          <w:p w:rsidR="00D31C25" w:rsidRDefault="00D31C25" w:rsidP="006C3272">
            <w:pPr>
              <w:rPr>
                <w:sz w:val="32"/>
                <w:szCs w:val="32"/>
              </w:rPr>
            </w:pPr>
          </w:p>
        </w:tc>
        <w:tc>
          <w:tcPr>
            <w:tcW w:w="9828" w:type="dxa"/>
          </w:tcPr>
          <w:p w:rsidR="00D31C25" w:rsidRPr="00D31C25" w:rsidRDefault="0061371D" w:rsidP="00365DA7">
            <w:pPr>
              <w:jc w:val="both"/>
              <w:rPr>
                <w:sz w:val="28"/>
                <w:szCs w:val="28"/>
              </w:rPr>
            </w:pPr>
            <w:r>
              <w:rPr>
                <w:sz w:val="28"/>
                <w:szCs w:val="28"/>
              </w:rPr>
              <w:t xml:space="preserve">If </w:t>
            </w:r>
            <w:r w:rsidR="00D31C25" w:rsidRPr="00D31C25">
              <w:rPr>
                <w:sz w:val="28"/>
                <w:szCs w:val="28"/>
              </w:rPr>
              <w:t>a directed trust structure, letter should clearly specify the given filings and amounts payable.</w:t>
            </w:r>
          </w:p>
        </w:tc>
      </w:tr>
      <w:tr w:rsidR="00D31C25" w:rsidTr="00D31C25">
        <w:tc>
          <w:tcPr>
            <w:tcW w:w="810" w:type="dxa"/>
          </w:tcPr>
          <w:p w:rsidR="00D31C25" w:rsidRDefault="00D31C25" w:rsidP="006C3272">
            <w:pPr>
              <w:rPr>
                <w:sz w:val="32"/>
                <w:szCs w:val="32"/>
              </w:rPr>
            </w:pPr>
          </w:p>
        </w:tc>
        <w:tc>
          <w:tcPr>
            <w:tcW w:w="9828" w:type="dxa"/>
          </w:tcPr>
          <w:p w:rsidR="00D31C25" w:rsidRPr="00D31C25" w:rsidRDefault="0061371D" w:rsidP="00365DA7">
            <w:pPr>
              <w:jc w:val="both"/>
              <w:rPr>
                <w:sz w:val="28"/>
                <w:szCs w:val="28"/>
              </w:rPr>
            </w:pPr>
            <w:r>
              <w:rPr>
                <w:sz w:val="28"/>
                <w:szCs w:val="28"/>
              </w:rPr>
              <w:t xml:space="preserve">If </w:t>
            </w:r>
            <w:r w:rsidR="00D31C25" w:rsidRPr="00D31C25">
              <w:rPr>
                <w:sz w:val="28"/>
                <w:szCs w:val="28"/>
              </w:rPr>
              <w:t>an administrative trustee structure, letter should specify any directions to Administrative regarding the transferring of funds needed to make the payment.</w:t>
            </w:r>
          </w:p>
        </w:tc>
      </w:tr>
    </w:tbl>
    <w:p w:rsidR="00D31C25" w:rsidRPr="00D31C25" w:rsidRDefault="00D31C25" w:rsidP="006C3272">
      <w:pPr>
        <w:spacing w:after="0"/>
        <w:ind w:left="1080"/>
        <w:rPr>
          <w:sz w:val="32"/>
          <w:szCs w:val="32"/>
        </w:rPr>
      </w:pPr>
    </w:p>
    <w:p w:rsidR="006C3272" w:rsidRDefault="006C3272" w:rsidP="00357488"/>
    <w:p w:rsidR="00832CBE" w:rsidRPr="00D31C25" w:rsidRDefault="00832CBE" w:rsidP="00832CBE">
      <w:pPr>
        <w:pStyle w:val="ListParagraph"/>
        <w:numPr>
          <w:ilvl w:val="0"/>
          <w:numId w:val="1"/>
        </w:numPr>
        <w:spacing w:after="0"/>
        <w:rPr>
          <w:rStyle w:val="IntenseReference"/>
          <w:color w:val="C45911" w:themeColor="accent2" w:themeShade="BF"/>
          <w:sz w:val="24"/>
          <w:szCs w:val="24"/>
        </w:rPr>
      </w:pPr>
      <w:r w:rsidRPr="00D31C25">
        <w:rPr>
          <w:rStyle w:val="IntenseReference"/>
          <w:color w:val="C45911" w:themeColor="accent2" w:themeShade="BF"/>
          <w:sz w:val="24"/>
          <w:szCs w:val="24"/>
        </w:rPr>
        <w:t>Other Concerns with directed trusts</w:t>
      </w:r>
    </w:p>
    <w:p w:rsidR="00832CBE" w:rsidRPr="00D31C25" w:rsidRDefault="00832CBE" w:rsidP="00832CBE">
      <w:pPr>
        <w:spacing w:after="0"/>
        <w:ind w:left="1080"/>
        <w:rPr>
          <w:i/>
          <w:sz w:val="24"/>
          <w:szCs w:val="24"/>
        </w:rPr>
      </w:pPr>
      <w:r w:rsidRPr="00D31C25">
        <w:rPr>
          <w:i/>
          <w:sz w:val="24"/>
          <w:szCs w:val="24"/>
        </w:rPr>
        <w:t xml:space="preserve">Has the following been </w:t>
      </w:r>
      <w:r w:rsidR="00F00CD9" w:rsidRPr="00D31C25">
        <w:rPr>
          <w:i/>
          <w:sz w:val="24"/>
          <w:szCs w:val="24"/>
        </w:rPr>
        <w:t>considered</w:t>
      </w:r>
      <w:r w:rsidRPr="00D31C25">
        <w:rPr>
          <w:i/>
          <w:sz w:val="24"/>
          <w:szCs w:val="24"/>
        </w:rPr>
        <w:t>?</w:t>
      </w:r>
    </w:p>
    <w:tbl>
      <w:tblPr>
        <w:tblStyle w:val="TableGrid"/>
        <w:tblW w:w="0" w:type="auto"/>
        <w:tblInd w:w="378" w:type="dxa"/>
        <w:tblLook w:val="04A0" w:firstRow="1" w:lastRow="0" w:firstColumn="1" w:lastColumn="0" w:noHBand="0" w:noVBand="1"/>
      </w:tblPr>
      <w:tblGrid>
        <w:gridCol w:w="810"/>
        <w:gridCol w:w="9828"/>
      </w:tblGrid>
      <w:tr w:rsidR="00D31C25" w:rsidTr="00D31C25">
        <w:tc>
          <w:tcPr>
            <w:tcW w:w="810" w:type="dxa"/>
          </w:tcPr>
          <w:p w:rsidR="00D31C25" w:rsidRDefault="00D31C25" w:rsidP="00832CBE">
            <w:pPr>
              <w:rPr>
                <w:sz w:val="28"/>
                <w:szCs w:val="28"/>
              </w:rPr>
            </w:pPr>
          </w:p>
        </w:tc>
        <w:tc>
          <w:tcPr>
            <w:tcW w:w="9828" w:type="dxa"/>
          </w:tcPr>
          <w:p w:rsidR="00D31C25" w:rsidRPr="00D31C25" w:rsidRDefault="00D31C25" w:rsidP="00365DA7">
            <w:pPr>
              <w:jc w:val="both"/>
              <w:rPr>
                <w:sz w:val="28"/>
                <w:szCs w:val="28"/>
              </w:rPr>
            </w:pPr>
            <w:r w:rsidRPr="00D31C25">
              <w:rPr>
                <w:sz w:val="28"/>
                <w:szCs w:val="28"/>
              </w:rPr>
              <w:t xml:space="preserve">Communicate and coordinate with Investment Advisor or Investment Trustee to make sure that </w:t>
            </w:r>
            <w:r w:rsidR="00365DA7">
              <w:rPr>
                <w:sz w:val="28"/>
                <w:szCs w:val="28"/>
              </w:rPr>
              <w:t>liquidity</w:t>
            </w:r>
            <w:r w:rsidRPr="00D31C25">
              <w:rPr>
                <w:sz w:val="28"/>
                <w:szCs w:val="28"/>
              </w:rPr>
              <w:t xml:space="preserve"> is available </w:t>
            </w:r>
            <w:r w:rsidR="00365DA7">
              <w:rPr>
                <w:sz w:val="28"/>
                <w:szCs w:val="28"/>
              </w:rPr>
              <w:t>to make any needed tax payments.</w:t>
            </w:r>
          </w:p>
        </w:tc>
      </w:tr>
    </w:tbl>
    <w:p w:rsidR="00D31C25" w:rsidRPr="00D31C25" w:rsidRDefault="00D31C25" w:rsidP="00832CBE">
      <w:pPr>
        <w:spacing w:after="0"/>
        <w:ind w:left="1080"/>
        <w:rPr>
          <w:sz w:val="28"/>
          <w:szCs w:val="28"/>
        </w:rPr>
      </w:pPr>
    </w:p>
    <w:p w:rsidR="00832CBE" w:rsidRPr="00357488" w:rsidRDefault="00832CBE" w:rsidP="00832CBE"/>
    <w:sectPr w:rsidR="00832CBE" w:rsidRPr="00357488" w:rsidSect="0035748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E94" w:rsidRDefault="00460E94" w:rsidP="00460E94">
      <w:pPr>
        <w:spacing w:after="0" w:line="240" w:lineRule="auto"/>
      </w:pPr>
      <w:r>
        <w:separator/>
      </w:r>
    </w:p>
  </w:endnote>
  <w:endnote w:type="continuationSeparator" w:id="0">
    <w:p w:rsidR="00460E94" w:rsidRDefault="00460E94" w:rsidP="00460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94" w:rsidRDefault="00460E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94" w:rsidRPr="00460E94" w:rsidRDefault="004F5564" w:rsidP="00460E94">
    <w:pPr>
      <w:pStyle w:val="Footer"/>
      <w:rPr>
        <w:color w:val="2F4F4F"/>
        <w:sz w:val="20"/>
      </w:rPr>
    </w:pPr>
    <w:r>
      <w:rPr>
        <w:color w:val="2F4F4F"/>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94" w:rsidRDefault="00460E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E94" w:rsidRDefault="00460E94" w:rsidP="00460E94">
      <w:pPr>
        <w:spacing w:after="0" w:line="240" w:lineRule="auto"/>
      </w:pPr>
      <w:r>
        <w:separator/>
      </w:r>
    </w:p>
  </w:footnote>
  <w:footnote w:type="continuationSeparator" w:id="0">
    <w:p w:rsidR="00460E94" w:rsidRDefault="00460E94" w:rsidP="00460E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94" w:rsidRDefault="00460E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94" w:rsidRDefault="00460E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94" w:rsidRDefault="00460E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7AE"/>
    <w:multiLevelType w:val="hybridMultilevel"/>
    <w:tmpl w:val="BFA829B8"/>
    <w:lvl w:ilvl="0" w:tplc="577A3B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9C3785"/>
    <w:multiLevelType w:val="hybridMultilevel"/>
    <w:tmpl w:val="45B81980"/>
    <w:lvl w:ilvl="0" w:tplc="B8042336">
      <w:start w:val="1"/>
      <w:numFmt w:val="bullet"/>
      <w:lvlText w:val=""/>
      <w:lvlJc w:val="left"/>
      <w:pPr>
        <w:tabs>
          <w:tab w:val="num" w:pos="720"/>
        </w:tabs>
        <w:ind w:left="720" w:hanging="360"/>
      </w:pPr>
      <w:rPr>
        <w:rFonts w:ascii="Wingdings 3" w:hAnsi="Wingdings 3" w:hint="default"/>
      </w:rPr>
    </w:lvl>
    <w:lvl w:ilvl="1" w:tplc="1FEADC5A" w:tentative="1">
      <w:start w:val="1"/>
      <w:numFmt w:val="bullet"/>
      <w:lvlText w:val=""/>
      <w:lvlJc w:val="left"/>
      <w:pPr>
        <w:tabs>
          <w:tab w:val="num" w:pos="1440"/>
        </w:tabs>
        <w:ind w:left="1440" w:hanging="360"/>
      </w:pPr>
      <w:rPr>
        <w:rFonts w:ascii="Wingdings 3" w:hAnsi="Wingdings 3" w:hint="default"/>
      </w:rPr>
    </w:lvl>
    <w:lvl w:ilvl="2" w:tplc="2AA694F0" w:tentative="1">
      <w:start w:val="1"/>
      <w:numFmt w:val="bullet"/>
      <w:lvlText w:val=""/>
      <w:lvlJc w:val="left"/>
      <w:pPr>
        <w:tabs>
          <w:tab w:val="num" w:pos="2160"/>
        </w:tabs>
        <w:ind w:left="2160" w:hanging="360"/>
      </w:pPr>
      <w:rPr>
        <w:rFonts w:ascii="Wingdings 3" w:hAnsi="Wingdings 3" w:hint="default"/>
      </w:rPr>
    </w:lvl>
    <w:lvl w:ilvl="3" w:tplc="4E0EF2FE" w:tentative="1">
      <w:start w:val="1"/>
      <w:numFmt w:val="bullet"/>
      <w:lvlText w:val=""/>
      <w:lvlJc w:val="left"/>
      <w:pPr>
        <w:tabs>
          <w:tab w:val="num" w:pos="2880"/>
        </w:tabs>
        <w:ind w:left="2880" w:hanging="360"/>
      </w:pPr>
      <w:rPr>
        <w:rFonts w:ascii="Wingdings 3" w:hAnsi="Wingdings 3" w:hint="default"/>
      </w:rPr>
    </w:lvl>
    <w:lvl w:ilvl="4" w:tplc="A4EA2BF4" w:tentative="1">
      <w:start w:val="1"/>
      <w:numFmt w:val="bullet"/>
      <w:lvlText w:val=""/>
      <w:lvlJc w:val="left"/>
      <w:pPr>
        <w:tabs>
          <w:tab w:val="num" w:pos="3600"/>
        </w:tabs>
        <w:ind w:left="3600" w:hanging="360"/>
      </w:pPr>
      <w:rPr>
        <w:rFonts w:ascii="Wingdings 3" w:hAnsi="Wingdings 3" w:hint="default"/>
      </w:rPr>
    </w:lvl>
    <w:lvl w:ilvl="5" w:tplc="B23AF456" w:tentative="1">
      <w:start w:val="1"/>
      <w:numFmt w:val="bullet"/>
      <w:lvlText w:val=""/>
      <w:lvlJc w:val="left"/>
      <w:pPr>
        <w:tabs>
          <w:tab w:val="num" w:pos="4320"/>
        </w:tabs>
        <w:ind w:left="4320" w:hanging="360"/>
      </w:pPr>
      <w:rPr>
        <w:rFonts w:ascii="Wingdings 3" w:hAnsi="Wingdings 3" w:hint="default"/>
      </w:rPr>
    </w:lvl>
    <w:lvl w:ilvl="6" w:tplc="3168CE12" w:tentative="1">
      <w:start w:val="1"/>
      <w:numFmt w:val="bullet"/>
      <w:lvlText w:val=""/>
      <w:lvlJc w:val="left"/>
      <w:pPr>
        <w:tabs>
          <w:tab w:val="num" w:pos="5040"/>
        </w:tabs>
        <w:ind w:left="5040" w:hanging="360"/>
      </w:pPr>
      <w:rPr>
        <w:rFonts w:ascii="Wingdings 3" w:hAnsi="Wingdings 3" w:hint="default"/>
      </w:rPr>
    </w:lvl>
    <w:lvl w:ilvl="7" w:tplc="2A6AAFF0" w:tentative="1">
      <w:start w:val="1"/>
      <w:numFmt w:val="bullet"/>
      <w:lvlText w:val=""/>
      <w:lvlJc w:val="left"/>
      <w:pPr>
        <w:tabs>
          <w:tab w:val="num" w:pos="5760"/>
        </w:tabs>
        <w:ind w:left="5760" w:hanging="360"/>
      </w:pPr>
      <w:rPr>
        <w:rFonts w:ascii="Wingdings 3" w:hAnsi="Wingdings 3" w:hint="default"/>
      </w:rPr>
    </w:lvl>
    <w:lvl w:ilvl="8" w:tplc="F6FA6F8C"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488"/>
    <w:rsid w:val="000952F3"/>
    <w:rsid w:val="00117AE6"/>
    <w:rsid w:val="001933BD"/>
    <w:rsid w:val="0029070A"/>
    <w:rsid w:val="00330D87"/>
    <w:rsid w:val="00340406"/>
    <w:rsid w:val="00357488"/>
    <w:rsid w:val="00365DA7"/>
    <w:rsid w:val="00421014"/>
    <w:rsid w:val="00460E94"/>
    <w:rsid w:val="00462216"/>
    <w:rsid w:val="004F5564"/>
    <w:rsid w:val="00524112"/>
    <w:rsid w:val="00557077"/>
    <w:rsid w:val="00577F45"/>
    <w:rsid w:val="005D3FB7"/>
    <w:rsid w:val="0061371D"/>
    <w:rsid w:val="006C3272"/>
    <w:rsid w:val="006C6F3B"/>
    <w:rsid w:val="0078622D"/>
    <w:rsid w:val="00832CBE"/>
    <w:rsid w:val="00883C71"/>
    <w:rsid w:val="008E3CCB"/>
    <w:rsid w:val="008F55B5"/>
    <w:rsid w:val="0090639E"/>
    <w:rsid w:val="00985A8F"/>
    <w:rsid w:val="00A23404"/>
    <w:rsid w:val="00B2052F"/>
    <w:rsid w:val="00D07F6A"/>
    <w:rsid w:val="00D31C25"/>
    <w:rsid w:val="00DB38B0"/>
    <w:rsid w:val="00E65318"/>
    <w:rsid w:val="00E71D22"/>
    <w:rsid w:val="00EA05A0"/>
    <w:rsid w:val="00F00CD9"/>
    <w:rsid w:val="00F50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926AC1-B5D3-407A-BB1F-4C11A53C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574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574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748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5748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C3272"/>
    <w:pPr>
      <w:ind w:left="720"/>
      <w:contextualSpacing/>
    </w:pPr>
  </w:style>
  <w:style w:type="table" w:styleId="TableGrid">
    <w:name w:val="Table Grid"/>
    <w:basedOn w:val="TableNormal"/>
    <w:uiPriority w:val="39"/>
    <w:rsid w:val="006C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117AE6"/>
    <w:rPr>
      <w:b/>
      <w:bCs/>
      <w:smallCaps/>
      <w:color w:val="5B9BD5" w:themeColor="accent1"/>
      <w:spacing w:val="5"/>
    </w:rPr>
  </w:style>
  <w:style w:type="paragraph" w:styleId="BalloonText">
    <w:name w:val="Balloon Text"/>
    <w:basedOn w:val="Normal"/>
    <w:link w:val="BalloonTextChar"/>
    <w:uiPriority w:val="99"/>
    <w:semiHidden/>
    <w:unhideWhenUsed/>
    <w:rsid w:val="00A23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404"/>
    <w:rPr>
      <w:rFonts w:ascii="Segoe UI" w:hAnsi="Segoe UI" w:cs="Segoe UI"/>
      <w:sz w:val="18"/>
      <w:szCs w:val="18"/>
    </w:rPr>
  </w:style>
  <w:style w:type="paragraph" w:styleId="Header">
    <w:name w:val="header"/>
    <w:basedOn w:val="Normal"/>
    <w:link w:val="HeaderChar"/>
    <w:uiPriority w:val="99"/>
    <w:unhideWhenUsed/>
    <w:rsid w:val="00460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E94"/>
  </w:style>
  <w:style w:type="paragraph" w:styleId="Footer">
    <w:name w:val="footer"/>
    <w:basedOn w:val="Normal"/>
    <w:link w:val="FooterChar"/>
    <w:uiPriority w:val="99"/>
    <w:unhideWhenUsed/>
    <w:rsid w:val="00460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728699">
      <w:bodyDiv w:val="1"/>
      <w:marLeft w:val="0"/>
      <w:marRight w:val="0"/>
      <w:marTop w:val="0"/>
      <w:marBottom w:val="0"/>
      <w:divBdr>
        <w:top w:val="none" w:sz="0" w:space="0" w:color="auto"/>
        <w:left w:val="none" w:sz="0" w:space="0" w:color="auto"/>
        <w:bottom w:val="none" w:sz="0" w:space="0" w:color="auto"/>
        <w:right w:val="none" w:sz="0" w:space="0" w:color="auto"/>
      </w:divBdr>
      <w:divsChild>
        <w:div w:id="167152024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Brown</dc:creator>
  <cp:lastModifiedBy>Cindy Brown</cp:lastModifiedBy>
  <cp:revision>3</cp:revision>
  <cp:lastPrinted>2018-09-07T13:59:00Z</cp:lastPrinted>
  <dcterms:created xsi:type="dcterms:W3CDTF">2018-09-14T13:40:00Z</dcterms:created>
  <dcterms:modified xsi:type="dcterms:W3CDTF">2018-09-14T13:48:00Z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XSensitivityLevel">
    <vt:lpwstr>3NS-20</vt:lpwstr>
  </property>
  <property fmtid="{D5CDD505-2E9C-101B-9397-08002B2CF9AE}" pid="4" name="DocumentPath">
    <vt:lpwstr>C:\Users\dad10\AppData\Local\Microsoft\Windows\Temporary Internet Files\Content.Outlook\F3ABJEWATax Checklist - Diamond.docx</vt:lpwstr>
  </property>
  <property fmtid="{D5CDD505-2E9C-101B-9397-08002B2CF9AE}" pid="5" name="XFooterSwitch">
    <vt:lpwstr>True</vt:lpwstr>
  </property>
  <property fmtid="{D5CDD505-2E9C-101B-9397-08002B2CF9AE}" pid="6" name="xNTACLog1">
    <vt:lpwstr>3NS-20201809131851Sdad10;;3NS-20201809140920Sdad10;3NS-20201809140938Adad10;3NS-20201809140939Adad10</vt:lpwstr>
  </property>
  <property fmtid="{D5CDD505-2E9C-101B-9397-08002B2CF9AE}" pid="7" name="xNTACLog">
    <vt:lpwstr>3NS-20201809140939Adad10;3NS-20201809140938Adad10;3NS-20201809140920Sdad10;3NS-20201809140918Sdad10;3NS-20201809140914Sdad10;3NS-20201809140912Sdad10;3NS-20201809140902Sdad10</vt:lpwstr>
  </property>
</Properties>
</file>